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Документ предоставлен </w:t>
      </w:r>
      <w:hyperlink r:id="rId5" w:history="1">
        <w:r w:rsidRPr="00AE2E06">
          <w:rPr>
            <w:rFonts w:ascii="Arial" w:hAnsi="Arial" w:cs="Arial"/>
            <w:color w:val="0000FF"/>
          </w:rPr>
          <w:t>КонсультантПлюс</w:t>
        </w:r>
      </w:hyperlink>
      <w:r w:rsidRPr="00AE2E06">
        <w:rPr>
          <w:rFonts w:ascii="Arial" w:hAnsi="Arial" w:cs="Arial"/>
        </w:rPr>
        <w:br/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bookmarkStart w:id="0" w:name="Par1"/>
      <w:bookmarkEnd w:id="0"/>
      <w:r w:rsidRPr="00AE2E06">
        <w:rPr>
          <w:rFonts w:ascii="Arial" w:hAnsi="Arial" w:cs="Arial"/>
        </w:rPr>
        <w:t>Зарегистрировано в Минюсте России 30 апреля 2014 г. N 32168</w:t>
      </w:r>
    </w:p>
    <w:p w:rsidR="00AE2E06" w:rsidRPr="00AE2E06" w:rsidRDefault="00AE2E06" w:rsidP="00AE2E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E2E06">
        <w:rPr>
          <w:rFonts w:ascii="Arial" w:hAnsi="Arial" w:cs="Arial"/>
          <w:b/>
          <w:bCs/>
        </w:rPr>
        <w:t>МИНИСТЕРСТВО ЭНЕРГЕТИКИ РОССИЙСКОЙ ФЕДЕРАЦИИ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E2E06">
        <w:rPr>
          <w:rFonts w:ascii="Arial" w:hAnsi="Arial" w:cs="Arial"/>
          <w:b/>
          <w:bCs/>
        </w:rPr>
        <w:t>ПРИКАЗ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E2E06">
        <w:rPr>
          <w:rFonts w:ascii="Arial" w:hAnsi="Arial" w:cs="Arial"/>
          <w:b/>
          <w:bCs/>
        </w:rPr>
        <w:t>от 30 декабря 2013 г. N 961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E2E06">
        <w:rPr>
          <w:rFonts w:ascii="Arial" w:hAnsi="Arial" w:cs="Arial"/>
          <w:b/>
          <w:bCs/>
        </w:rPr>
        <w:t>ОБ УТВЕРЖДЕНИИ ПРАВИЛ УЧЕТА ГАЗА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AE2E06">
        <w:rPr>
          <w:rFonts w:ascii="Arial" w:hAnsi="Arial" w:cs="Arial"/>
        </w:rPr>
        <w:t>Список изменяющих документов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(в ред. </w:t>
      </w:r>
      <w:hyperlink r:id="rId6" w:history="1">
        <w:r w:rsidRPr="00AE2E06">
          <w:rPr>
            <w:rFonts w:ascii="Arial" w:hAnsi="Arial" w:cs="Arial"/>
            <w:color w:val="0000FF"/>
          </w:rPr>
          <w:t>Приказа</w:t>
        </w:r>
      </w:hyperlink>
      <w:r w:rsidRPr="00AE2E06">
        <w:rPr>
          <w:rFonts w:ascii="Arial" w:hAnsi="Arial" w:cs="Arial"/>
        </w:rPr>
        <w:t xml:space="preserve"> Минэнерго России от 26.12.2014 N 997)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В соответствии с </w:t>
      </w:r>
      <w:hyperlink r:id="rId7" w:history="1">
        <w:r w:rsidRPr="00AE2E06">
          <w:rPr>
            <w:rFonts w:ascii="Arial" w:hAnsi="Arial" w:cs="Arial"/>
            <w:color w:val="0000FF"/>
          </w:rPr>
          <w:t>пунктом 4.2.9</w:t>
        </w:r>
      </w:hyperlink>
      <w:r w:rsidRPr="00AE2E06">
        <w:rPr>
          <w:rFonts w:ascii="Arial" w:hAnsi="Arial" w:cs="Arial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2009, N 3, ст. 378; N 6, ст. 738; N 33, ст. 4088; N 52 (ч. II), ст. 6586; 2010, N 9, ст. 960; N 26, ст. 3350; N 31, ст. 4251; N 47, ст. 6128; 2011, N 6, ст. 888; N 14, ст. 1935; 2012, N 11, ст. 1293; N 15, ст. 1779, N 31, ст. 4386; N 37, ст. 5001; N 40, ст. 5449; 2013, N 17, ст. 2171; N 29, ст. 3970; N 33, ст. 4386; N 35, ст. 4525; N 44, ст. 5752; N 45, ст. 5822), приказываю: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1. Утвердить прилагаемые </w:t>
      </w:r>
      <w:hyperlink w:anchor="Par33" w:history="1">
        <w:r w:rsidRPr="00AE2E06">
          <w:rPr>
            <w:rFonts w:ascii="Arial" w:hAnsi="Arial" w:cs="Arial"/>
            <w:color w:val="0000FF"/>
          </w:rPr>
          <w:t>Правила</w:t>
        </w:r>
      </w:hyperlink>
      <w:r w:rsidRPr="00AE2E06">
        <w:rPr>
          <w:rFonts w:ascii="Arial" w:hAnsi="Arial" w:cs="Arial"/>
        </w:rPr>
        <w:t xml:space="preserve"> учета газа.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2. Признать утратившими силу </w:t>
      </w:r>
      <w:hyperlink r:id="rId8" w:history="1">
        <w:r w:rsidRPr="00AE2E06">
          <w:rPr>
            <w:rFonts w:ascii="Arial" w:hAnsi="Arial" w:cs="Arial"/>
            <w:color w:val="0000FF"/>
          </w:rPr>
          <w:t>Правила</w:t>
        </w:r>
      </w:hyperlink>
      <w:r w:rsidRPr="00AE2E06">
        <w:rPr>
          <w:rFonts w:ascii="Arial" w:hAnsi="Arial" w:cs="Arial"/>
        </w:rPr>
        <w:t xml:space="preserve"> учета газа, утвержденные заместителем Министра топлива и энергетики Российской Федерации В.В. Бушуевым 14 октября 1996 г. (зарегистрированы Минюстом России 15 ноября 1996 г., регистрационный N 1198).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AE2E06">
        <w:rPr>
          <w:rFonts w:ascii="Arial" w:hAnsi="Arial" w:cs="Arial"/>
        </w:rPr>
        <w:t>Министр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AE2E06">
        <w:rPr>
          <w:rFonts w:ascii="Arial" w:hAnsi="Arial" w:cs="Arial"/>
        </w:rPr>
        <w:t>А.В.НОВАК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bookmarkStart w:id="1" w:name="Par25"/>
      <w:bookmarkEnd w:id="1"/>
      <w:r w:rsidRPr="00AE2E06">
        <w:rPr>
          <w:rFonts w:ascii="Arial" w:hAnsi="Arial" w:cs="Arial"/>
        </w:rPr>
        <w:t>Утверждены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AE2E06">
        <w:rPr>
          <w:rFonts w:ascii="Arial" w:hAnsi="Arial" w:cs="Arial"/>
        </w:rPr>
        <w:t>приказом Минэнерго России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AE2E06">
        <w:rPr>
          <w:rFonts w:ascii="Arial" w:hAnsi="Arial" w:cs="Arial"/>
        </w:rPr>
        <w:t>от 30 декабря 2013 г. N 961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КонсультантПлюс: примечание.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hyperlink r:id="rId9" w:history="1">
        <w:r w:rsidRPr="00AE2E06">
          <w:rPr>
            <w:rFonts w:ascii="Arial" w:hAnsi="Arial" w:cs="Arial"/>
            <w:color w:val="0000FF"/>
          </w:rPr>
          <w:t>Письмом</w:t>
        </w:r>
      </w:hyperlink>
      <w:r w:rsidRPr="00AE2E06">
        <w:rPr>
          <w:rFonts w:ascii="Arial" w:hAnsi="Arial" w:cs="Arial"/>
        </w:rPr>
        <w:t xml:space="preserve"> ФНС России от 14.08.2014 N АС-4-3/16135 сообщено, что данные Правила не могут применяться в целях налогообложения НДПИ добычи газа горючего природного.</w:t>
      </w:r>
    </w:p>
    <w:p w:rsidR="00AE2E06" w:rsidRPr="00AE2E06" w:rsidRDefault="00AE2E06" w:rsidP="00AE2E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bookmarkStart w:id="2" w:name="Par33"/>
      <w:bookmarkEnd w:id="2"/>
      <w:r w:rsidRPr="00AE2E06">
        <w:rPr>
          <w:rFonts w:ascii="Arial" w:hAnsi="Arial" w:cs="Arial"/>
          <w:b/>
          <w:bCs/>
        </w:rPr>
        <w:t>ПРАВИЛА УЧЕТА ГАЗА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AE2E06">
        <w:rPr>
          <w:rFonts w:ascii="Arial" w:hAnsi="Arial" w:cs="Arial"/>
        </w:rPr>
        <w:lastRenderedPageBreak/>
        <w:t>Список изменяющих документов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(в ред. </w:t>
      </w:r>
      <w:hyperlink r:id="rId10" w:history="1">
        <w:r w:rsidRPr="00AE2E06">
          <w:rPr>
            <w:rFonts w:ascii="Arial" w:hAnsi="Arial" w:cs="Arial"/>
            <w:color w:val="0000FF"/>
          </w:rPr>
          <w:t>Приказа</w:t>
        </w:r>
      </w:hyperlink>
      <w:r w:rsidRPr="00AE2E06">
        <w:rPr>
          <w:rFonts w:ascii="Arial" w:hAnsi="Arial" w:cs="Arial"/>
        </w:rPr>
        <w:t xml:space="preserve"> Минэнерго России от 26.12.2014 N 997)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bookmarkStart w:id="3" w:name="Par38"/>
      <w:bookmarkEnd w:id="3"/>
      <w:r w:rsidRPr="00AE2E06">
        <w:rPr>
          <w:rFonts w:ascii="Arial" w:hAnsi="Arial" w:cs="Arial"/>
        </w:rPr>
        <w:t>I. Общие положения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1.1. Настоящие Правила устанавливают порядок учета количества (объема) добытого, транспортируемого, перерабатываемого, хранимого и потребляемого природного газа, нефтяного (попутного) газа, отбензиненного сухого газа, газа из газоконденсатных месторождений, добываемого и собираемого газо- и нефтеперерабатывающими организациями, и газа, вырабатываемого газо- и нефтеперерабатывающими организациями (далее - газ) &lt;1&gt;.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--------------------------------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&lt;1&gt; Федеральный </w:t>
      </w:r>
      <w:hyperlink r:id="rId11" w:history="1">
        <w:r w:rsidRPr="00AE2E06">
          <w:rPr>
            <w:rFonts w:ascii="Arial" w:hAnsi="Arial" w:cs="Arial"/>
            <w:color w:val="0000FF"/>
          </w:rPr>
          <w:t>закон</w:t>
        </w:r>
      </w:hyperlink>
      <w:r w:rsidRPr="00AE2E06">
        <w:rPr>
          <w:rFonts w:ascii="Arial" w:hAnsi="Arial" w:cs="Arial"/>
        </w:rPr>
        <w:t xml:space="preserve"> от 31.03.1999 N 69-ФЗ "О газоснабжении в Российской Федерации" (Собрание законодательства Российской Федерации, 1999, N 14, ст. 1667; 2005, N 52 (ч. I), ст. 5595; 2006, N 52 (ч. I), ст. 5498; 2008, N 29 (ч. I), ст. 3420; 2009, N 1, ст. 21; 2011, N 30 (ч. I), ст. 4596; 2012, N 50 (ч. V), ст. 6964; N 53 (ч. I), ст. 7648).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1.2. При проведении учета газа осуществляется упорядоченный сбор, регистрация и обобщение информации о количественных и (или) о количественных и качественных их показателях в натуральном выражении, о наличии и движении путем документального оформления всех операций, связанных с добычей, транспортировкой, переработкой, хранением и потреблением.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1.3. Последовательно выполняемые действия по сбору, накоплению и составлению информации об учете газа и ее отражению в первичных учетных документах должны предусматривать совокупность операций, выполняемых для определения количественных значений объемов газа и (или) их количественных и качественных показателей, регистрацию, а при необходимости расчет его количественных и (или) количественных и качественных показателей.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1.4. Правила распространяются на юридических и физических лиц, включая индивидуальных предпринимателей.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1.5. Юридические лица и индивидуальные предприниматели, осуществляющие учет газа в установленном законодательством Российской Федерации порядке, обеспечивают должностным лицам государственного метрологического надзора доступ к средствам измерений и (или) техническим системам и устройствам с измерительными функциями.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1.6. Средства измерений и (или) технические системы и устройства с измерительными функциями, применяемые для учета газа в сферах государственного регулирования, должны отвечать требованиям </w:t>
      </w:r>
      <w:hyperlink r:id="rId12" w:history="1">
        <w:r w:rsidRPr="00AE2E06">
          <w:rPr>
            <w:rFonts w:ascii="Arial" w:hAnsi="Arial" w:cs="Arial"/>
            <w:color w:val="0000FF"/>
          </w:rPr>
          <w:t>законодательства</w:t>
        </w:r>
      </w:hyperlink>
      <w:r w:rsidRPr="00AE2E06">
        <w:rPr>
          <w:rFonts w:ascii="Arial" w:hAnsi="Arial" w:cs="Arial"/>
        </w:rPr>
        <w:t xml:space="preserve"> Российской Федерации об обеспечении единства измерений.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1.7. Измерения объемов газа, в том числе показатели точности измерений объемов газа, определяются в соответствии с законодательством Российской Федерации об обеспечении единства измерений.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1.8. Средства измерений и (или) технические системы и устройства с измерительными функциями должны быть защищены от несанкционированного вмешательства.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bookmarkStart w:id="4" w:name="Par52"/>
      <w:bookmarkEnd w:id="4"/>
      <w:r w:rsidRPr="00AE2E06">
        <w:rPr>
          <w:rFonts w:ascii="Arial" w:hAnsi="Arial" w:cs="Arial"/>
        </w:rPr>
        <w:t>II. Учет количественных и (или) качественных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AE2E06">
        <w:rPr>
          <w:rFonts w:ascii="Arial" w:hAnsi="Arial" w:cs="Arial"/>
        </w:rPr>
        <w:t>показателей газа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2.1. Целями учета являются &lt;1&gt;: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--------------------------------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lastRenderedPageBreak/>
        <w:t xml:space="preserve">&lt;1&gt; </w:t>
      </w:r>
      <w:hyperlink r:id="rId13" w:history="1">
        <w:r w:rsidRPr="00AE2E06">
          <w:rPr>
            <w:rFonts w:ascii="Arial" w:hAnsi="Arial" w:cs="Arial"/>
            <w:color w:val="0000FF"/>
          </w:rPr>
          <w:t>Пункт 42</w:t>
        </w:r>
      </w:hyperlink>
      <w:r w:rsidRPr="00AE2E06">
        <w:rPr>
          <w:rFonts w:ascii="Arial" w:hAnsi="Arial" w:cs="Arial"/>
        </w:rPr>
        <w:t xml:space="preserve"> Правил пользования газом и предоставления услуг по газоснабжению в Российской Федерации, утвержденных постановлением Правительства Российской Федерации от 17.05.2002 N 317 (Собрание законодательства Российской Федерации, 2002, N 20, ст. 1870).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осуществление финансовых расчетов при газоснабжении;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контроль за режимами поставки газа и контроль за потреблением газа организацией в целом, отдельным газоиспользующим оборудованием или в технологическом процессе;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контроль за использованием газа.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2.2. При добыче учету подлежит газ: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добытый;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поставленный потребителям;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расходуемый на обеспечение собственных нужд газодобывающей организации, в том числе на технологические нужды, на жилищно-коммунальные и бытовые нужды (собственные производственно-технологические нужды) (в том числе в качестве топлива);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сожженный на факельных установках;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полученный от других газодобывающих организаций;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утерянный.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2.3. При транспортировке учету подлежит газ: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принимаемый от грузоотправителя для транспортировки;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сдаваемый грузополучателю;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передаваемый одной организацией трубопроводного транспорта другой организации трубопроводного транспорта;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утерянный.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2.4. При переработке учету подлежит газ: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поставленный на газоперерабатывающий объект;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сожженный на факельных установках;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отпущенный с газоперерабатывающего объекта;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расходуемый на обеспечение собственных нужд газоперерабатывающего объекта, в том числе на технологические нужды, на жилищно-коммунальные и бытовые нужды (собственные производственно-технологические нужды) (в том числе в качестве топлива);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утерянный.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2.5. При хранении учету подлежит газ: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принимаемый в места хранения;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отпускаемый с мест хранения;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утерянный.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2.6. При потреблении учету подлежит газ при входе на газопотребляющий объект.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2.7. При добыче, транспортировке, переработке, хранении и потреблении газа для учета количественных значений объемов газа применяется единица измерения, определяемая учетной политикой организации.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2.8. В целях формирования достоверной информации при учете объема газа определяются: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технологические объекты и места на технологической схеме, где производятся измерения объема газа;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перечень показателей газа, подлежащих измерению;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состав средств измерений и (или) технических систем и устройств с измерительными функциями и параметры измерений.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2.9. Измерения объема газа выполняются по аттестованным в установленном </w:t>
      </w:r>
      <w:hyperlink r:id="rId14" w:history="1">
        <w:r w:rsidRPr="00AE2E06">
          <w:rPr>
            <w:rFonts w:ascii="Arial" w:hAnsi="Arial" w:cs="Arial"/>
            <w:color w:val="0000FF"/>
          </w:rPr>
          <w:t>порядке</w:t>
        </w:r>
      </w:hyperlink>
      <w:r w:rsidRPr="00AE2E06">
        <w:rPr>
          <w:rFonts w:ascii="Arial" w:hAnsi="Arial" w:cs="Arial"/>
        </w:rPr>
        <w:t xml:space="preserve"> методикам (методам) измерений.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2.10. При приеме-передаче газа его объем измеряется средствами измерений и </w:t>
      </w:r>
      <w:r w:rsidRPr="00AE2E06">
        <w:rPr>
          <w:rFonts w:ascii="Arial" w:hAnsi="Arial" w:cs="Arial"/>
        </w:rPr>
        <w:lastRenderedPageBreak/>
        <w:t>(или) техническими системами и устройствами с измерительными функциями, определенными проектной документацией на объекты транспортировки, хранения и (или) потребления.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При поставках газа газотранспортной организацией газораспределительной организации объем газа измеряется средствами измерений и (или) техническими системами и устройствами с измерительными функциями газотранспортной организации.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2.11. Количество (объемы) газа ежемесячно с начала года учитывается в форме баланса газа.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bookmarkStart w:id="5" w:name="Par95"/>
      <w:bookmarkEnd w:id="5"/>
      <w:r w:rsidRPr="00AE2E06">
        <w:rPr>
          <w:rFonts w:ascii="Arial" w:hAnsi="Arial" w:cs="Arial"/>
        </w:rPr>
        <w:t>III. Особенности учета газа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3.1. Учет природного газа при добыче должен проводиться в календарном месяце, в котором проводилось его измерение.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(п. 3.1 в ред. </w:t>
      </w:r>
      <w:hyperlink r:id="rId15" w:history="1">
        <w:r w:rsidRPr="00AE2E06">
          <w:rPr>
            <w:rFonts w:ascii="Arial" w:hAnsi="Arial" w:cs="Arial"/>
            <w:color w:val="0000FF"/>
          </w:rPr>
          <w:t>Приказа</w:t>
        </w:r>
      </w:hyperlink>
      <w:r w:rsidRPr="00AE2E06">
        <w:rPr>
          <w:rFonts w:ascii="Arial" w:hAnsi="Arial" w:cs="Arial"/>
        </w:rPr>
        <w:t xml:space="preserve"> Минэнерго России от 26.12.2014 N 997)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3.2. Учет добытого природного газа проводится для стандартных условий независимо от теплотворной способности газа и других параметров, определяющих качественные характеристики природного газа.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3.3. Объем добытого природного газа, приведенного к стандартным условиям, подготовленного и по своему качеству соответствующего национальному (региональному или международному) стандарту, а в случае отсутствия указанных стандартов - стандарту организации, определяется как сумма количества природного газа, измеренного и переданного для транспортировки, с учетом количества фактических потерь природного газа при добыче, а также остатков природного газа во внутрипромысловых газопроводах.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В случае если на объектах сбора и подготовки природного газа его отпуск сторонним организациям и (или) на собственные производственно-технологические нужды осуществляется в составе газоводоконденсатной смеси, то количество отпущенного природного газа, определенного по показателям переданного объема газоводоконденсатной смеси и ее физико-химическим характеристикам, учитывается в объеме добытого природного газа.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На объектах сбора и подготовки природного газа его отпуск без проведения учета не допускается.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(п. 3.3 в ред. </w:t>
      </w:r>
      <w:hyperlink r:id="rId16" w:history="1">
        <w:r w:rsidRPr="00AE2E06">
          <w:rPr>
            <w:rFonts w:ascii="Arial" w:hAnsi="Arial" w:cs="Arial"/>
            <w:color w:val="0000FF"/>
          </w:rPr>
          <w:t>Приказа</w:t>
        </w:r>
      </w:hyperlink>
      <w:r w:rsidRPr="00AE2E06">
        <w:rPr>
          <w:rFonts w:ascii="Arial" w:hAnsi="Arial" w:cs="Arial"/>
        </w:rPr>
        <w:t xml:space="preserve"> Минэнерго России от 26.12.2014 N 997)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3.4. Фактические потери природного газа при добыче, транспортировке, переработке и хранении (при закачке и отборе из газохранилищ) определяются собственником природного газа по каждому конкретному месту их образования и оформляются актами.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3.5. По итогам деятельности в отчетном периоде организация составляет баланс добычи природного газа на основании актов приема-сдачи количества добытого, переданного для транспортировки и другим организациям, принятого от других организаций, сожженного на факельных установках, использованного на собственные производственно-технологические нужды, с учетом фактических потерь.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3.6. При контроле параметров технологического процесса сбора и подготовки природного газа газодобывающая организация ведет учет природного газа в составе извлекаемой из недр газовой смеси (далее - оперативный учет природного газа).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Регистрация показаний средств измерений и (или) технических систем и устройств с измерительными функциями о показателях природного газа в составе извлекаемой из недр газовой смеси при оперативном учете природного газа осуществляется в эксплуатационных документах.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Порядок ведения оперативного учета природного газа определяется газодобывающей организацией в соответствии с принятой схемой и технологией разработки месторождения, проектом обустройства месторождения или плана пробной </w:t>
      </w:r>
      <w:r w:rsidRPr="00AE2E06">
        <w:rPr>
          <w:rFonts w:ascii="Arial" w:hAnsi="Arial" w:cs="Arial"/>
        </w:rPr>
        <w:lastRenderedPageBreak/>
        <w:t>эксплуатации скважин.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3.7. Количественные и качественные показатели природного газа при приеме-передаче для транспортировки, а также в процессе распределения измеряются на линии раздела объектов газоснабжения и (или) распределения между владельцами по признаку собственности или владения на ином законном основании.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3.8. При отсутствии либо неисправности средств измерений и (или) технических систем и устройств с измерительными функциями у газораспределительной организации количество поданного природного газа поставщиком определяется по данным средств измерения и (или) технических систем и устройств с измерительными функциями поставщика газа.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3.9. При отсутствии либо неисправности средств измерений и (или) технических систем и устройств с измерительными функциями у потребителя количество поданного газа поставщиком или газораспределительной организацией определяется по проектной мощности газопотребляющих объектов исходя из вре</w:t>
      </w:r>
      <w:bookmarkStart w:id="6" w:name="_GoBack"/>
      <w:bookmarkEnd w:id="6"/>
      <w:r w:rsidRPr="00AE2E06">
        <w:rPr>
          <w:rFonts w:ascii="Arial" w:hAnsi="Arial" w:cs="Arial"/>
        </w:rPr>
        <w:t>мени, в течение которого подавался газ в период отсутствия либо неисправности средств измерения и (или) технических систем и устройств с измерительными функциями.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3.10. Учет количества природного газа, реализуемого населению, осуществляется средствами измерений в условиях их применения.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Количество природного газа, реализуемого населению, при отсутствии средств измерений газа определяется в соответствии с положениями </w:t>
      </w:r>
      <w:hyperlink r:id="rId17" w:history="1">
        <w:r w:rsidRPr="00AE2E06">
          <w:rPr>
            <w:rFonts w:ascii="Arial" w:hAnsi="Arial" w:cs="Arial"/>
            <w:color w:val="0000FF"/>
          </w:rPr>
          <w:t>постановления</w:t>
        </w:r>
      </w:hyperlink>
      <w:r w:rsidRPr="00AE2E06">
        <w:rPr>
          <w:rFonts w:ascii="Arial" w:hAnsi="Arial" w:cs="Arial"/>
        </w:rPr>
        <w:t xml:space="preserve"> Правительства Российской Федерации от 13 июня 2006 г. N 373 "О порядке установления нормативов потребления газа населением при отсутствии приборов учета газа" (Собрание законодательства Российской Федерации, 2006, N 25, ст. 2733).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3.11. Количество добытого попутного (нефтяного) газа за отчетный период нефтегазодобывающие организации учитывают раздельно по каждому лицензионному участку недр в соответствии с проектной документацией лицензионного участка по результатам измерений средствами измерений и (или) техническими системами и устройствами с измерительными функциями.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На объектах сбора и подготовки попутного (нефтяного) газа его отбор без проведения учета не допускается.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(п. 3.11 в ред. </w:t>
      </w:r>
      <w:hyperlink r:id="rId18" w:history="1">
        <w:r w:rsidRPr="00AE2E06">
          <w:rPr>
            <w:rFonts w:ascii="Arial" w:hAnsi="Arial" w:cs="Arial"/>
            <w:color w:val="0000FF"/>
          </w:rPr>
          <w:t>Приказа</w:t>
        </w:r>
      </w:hyperlink>
      <w:r w:rsidRPr="00AE2E06">
        <w:rPr>
          <w:rFonts w:ascii="Arial" w:hAnsi="Arial" w:cs="Arial"/>
        </w:rPr>
        <w:t xml:space="preserve"> Минэнерго России от 26.12.2014 N 997)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3.12. Количество добытого попутного (нефтяного) газа за отчетный период нефтегазодобывающие организации определяют суммированием количества добытого попутного (нефтяного) газа по каждому лицензионному участку недр в отчетном периоде, с учетом фактических потерь, количества отпущенного (полученного) другой нефтегазодобывающей организации (от другой нефтегазодобывающей организации) и использованного на собственные производственно-технологические нужды.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3.13. По результатам измерений принятого (переданного) количества попутного (нефтяного) газа от сторонних организаций оформляется акт приема-сдачи попутного (нефтяного) газа.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3.14. Количество попутного (нефтяного) газа, направленного на сжигание, учитывается по показаниям средств измерения и (или) технических систем и устройств с измерительными функциями.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3.15. В целях учета попутного (нефтяного) газа фактические потери попутного (нефтяного) газа при добыче и транспортировке определяются и учитываются нефтегазодобывающей организацией по каждому конкретному месту их образования.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3.16. По завершении отчетного периода нефтегазодобывающая организация составляет баланс добычи попутного (нефтяного) газа.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 xml:space="preserve">3.17. В процессе сбора и подготовки природного газа нефтегазодобывающая организация ведет учет попутного (нефтяного) газа в составе извлекаемой из недр </w:t>
      </w:r>
      <w:r w:rsidRPr="00AE2E06">
        <w:rPr>
          <w:rFonts w:ascii="Arial" w:hAnsi="Arial" w:cs="Arial"/>
        </w:rPr>
        <w:lastRenderedPageBreak/>
        <w:t>нефтегазоводяной смеси в целях контроля параметров технологического процесса (далее - оперативный учет попутного (нефтяного) газа).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Регистрация показаний средств измерений и (или) технических систем и устройств с измерительными функциями о показателях попутного (нефтяного) газа в составе извлекаемой из недр нефтегазоводяной смеси при оперативном учете попутного (нефтяного) газа осуществляется в эксплуатационных документах.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Порядок ведения оперативного учета попутного (нефтяного) газа устанавливается нефтегазодобывающей организацией в соответствии с принятой схемой и технологией разработки месторождения, проектом обустройства месторождения или планом пробной эксплуатации скважин.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3.18. Количество попутного (нефтяного) газа, поступившего на переработку либо поставляемого с переработки, сжигаемого на факельных установках, подлежит учету.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3.19. Фактические технологические потери попутного (нефтяного) газа при добыче, транспортировке, переработке и хранении (при закачке и отборе из газохранилищ) определяются и учитываются собственником попутного (нефтяного) газа по каждому месту их образования.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AE2E06">
        <w:rPr>
          <w:rFonts w:ascii="Arial" w:hAnsi="Arial" w:cs="Arial"/>
        </w:rPr>
        <w:t>3.20. Учет при потреблении попутного (нефтяного) газа должен предусматривать измерение и регистрацию его количественных показателей на входе в газопотребляющий объект.</w:t>
      </w: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2E06" w:rsidRPr="00AE2E06" w:rsidRDefault="00AE2E06" w:rsidP="00AE2E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</w:p>
    <w:p w:rsidR="00FA379A" w:rsidRPr="00AE2E06" w:rsidRDefault="00FA379A" w:rsidP="00AE2E06">
      <w:pPr>
        <w:rPr>
          <w:rFonts w:ascii="Arial" w:hAnsi="Arial" w:cs="Arial"/>
        </w:rPr>
      </w:pPr>
    </w:p>
    <w:sectPr w:rsidR="00FA379A" w:rsidRPr="00AE2E06" w:rsidSect="0043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06"/>
    <w:rsid w:val="0005489A"/>
    <w:rsid w:val="00095E65"/>
    <w:rsid w:val="001458E3"/>
    <w:rsid w:val="001D00D7"/>
    <w:rsid w:val="001D32EB"/>
    <w:rsid w:val="001D7A29"/>
    <w:rsid w:val="002B49EE"/>
    <w:rsid w:val="002F37E7"/>
    <w:rsid w:val="00306C56"/>
    <w:rsid w:val="003369E0"/>
    <w:rsid w:val="00391CFB"/>
    <w:rsid w:val="003C3719"/>
    <w:rsid w:val="00401D45"/>
    <w:rsid w:val="00404DB6"/>
    <w:rsid w:val="00460651"/>
    <w:rsid w:val="00524606"/>
    <w:rsid w:val="0055349F"/>
    <w:rsid w:val="00577712"/>
    <w:rsid w:val="0059590E"/>
    <w:rsid w:val="005D1AA5"/>
    <w:rsid w:val="005D7956"/>
    <w:rsid w:val="00606F3E"/>
    <w:rsid w:val="00752D6D"/>
    <w:rsid w:val="00767012"/>
    <w:rsid w:val="007D2BBC"/>
    <w:rsid w:val="007F1CF5"/>
    <w:rsid w:val="0086204A"/>
    <w:rsid w:val="008848EF"/>
    <w:rsid w:val="008E1144"/>
    <w:rsid w:val="009035B4"/>
    <w:rsid w:val="00964494"/>
    <w:rsid w:val="009A146C"/>
    <w:rsid w:val="009B503C"/>
    <w:rsid w:val="009B54C5"/>
    <w:rsid w:val="00A30E32"/>
    <w:rsid w:val="00A425BC"/>
    <w:rsid w:val="00A52955"/>
    <w:rsid w:val="00A52999"/>
    <w:rsid w:val="00A60821"/>
    <w:rsid w:val="00A71398"/>
    <w:rsid w:val="00A776FA"/>
    <w:rsid w:val="00A84526"/>
    <w:rsid w:val="00AB3126"/>
    <w:rsid w:val="00AD146E"/>
    <w:rsid w:val="00AD661B"/>
    <w:rsid w:val="00AE2E06"/>
    <w:rsid w:val="00B62362"/>
    <w:rsid w:val="00B66399"/>
    <w:rsid w:val="00B6771E"/>
    <w:rsid w:val="00B7007C"/>
    <w:rsid w:val="00B81C89"/>
    <w:rsid w:val="00B91A91"/>
    <w:rsid w:val="00BC3E18"/>
    <w:rsid w:val="00BD654A"/>
    <w:rsid w:val="00BD6641"/>
    <w:rsid w:val="00BE0738"/>
    <w:rsid w:val="00BF0F55"/>
    <w:rsid w:val="00BF56A5"/>
    <w:rsid w:val="00C03A74"/>
    <w:rsid w:val="00C200FC"/>
    <w:rsid w:val="00C210B7"/>
    <w:rsid w:val="00C77723"/>
    <w:rsid w:val="00C843A9"/>
    <w:rsid w:val="00C86F68"/>
    <w:rsid w:val="00CB17E7"/>
    <w:rsid w:val="00CF3996"/>
    <w:rsid w:val="00D847F8"/>
    <w:rsid w:val="00D85F32"/>
    <w:rsid w:val="00E20373"/>
    <w:rsid w:val="00E27A93"/>
    <w:rsid w:val="00E54B03"/>
    <w:rsid w:val="00E67A76"/>
    <w:rsid w:val="00EA121C"/>
    <w:rsid w:val="00EB6B05"/>
    <w:rsid w:val="00EE46C1"/>
    <w:rsid w:val="00F132BD"/>
    <w:rsid w:val="00F27F65"/>
    <w:rsid w:val="00F36886"/>
    <w:rsid w:val="00F40E42"/>
    <w:rsid w:val="00F84C78"/>
    <w:rsid w:val="00F95082"/>
    <w:rsid w:val="00FA379A"/>
    <w:rsid w:val="00FB62C8"/>
    <w:rsid w:val="00FD73E7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98A75ED921E3868B3D7DDD90E6B85CA9E50EE78C6066BF27758B6bA07M" TargetMode="External"/><Relationship Id="rId13" Type="http://schemas.openxmlformats.org/officeDocument/2006/relationships/hyperlink" Target="consultantplus://offline/ref=71098A75ED921E3868B3D7DDD90E6B85CA9B53E979CC5B61FA2E54B4A03BEEE8A37D054111C07681b305M" TargetMode="External"/><Relationship Id="rId18" Type="http://schemas.openxmlformats.org/officeDocument/2006/relationships/hyperlink" Target="consultantplus://offline/ref=71098A75ED921E3868B3D7DDD90E6B85CA9B51EB75CB5B61FA2E54B4A03BEEE8A37D054111C07780b30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098A75ED921E3868B3D7DDD90E6B85CA9B57EB78CE5B61FA2E54B4A03BEEE8A37D054111C07785b301M" TargetMode="External"/><Relationship Id="rId12" Type="http://schemas.openxmlformats.org/officeDocument/2006/relationships/hyperlink" Target="consultantplus://offline/ref=71098A75ED921E3868B3D7DDD90E6B85CA9A52ED7ECE5B61FA2E54B4A0b30BM" TargetMode="External"/><Relationship Id="rId17" Type="http://schemas.openxmlformats.org/officeDocument/2006/relationships/hyperlink" Target="consultantplus://offline/ref=71098A75ED921E3868B3D7DDD90E6B85CA9A55EC7CCD5B61FA2E54B4A0b30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098A75ED921E3868B3D7DDD90E6B85CA9B51EB75CB5B61FA2E54B4A03BEEE8A37D054111C07780b303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98A75ED921E3868B3D7DDD90E6B85CA9B51EB75CB5B61FA2E54B4A03BEEE8A37D054111C07781b307M" TargetMode="External"/><Relationship Id="rId11" Type="http://schemas.openxmlformats.org/officeDocument/2006/relationships/hyperlink" Target="consultantplus://offline/ref=71098A75ED921E3868B3D7DDD90E6B85CA9A52ED7DCD5B61FA2E54B4A0b30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098A75ED921E3868B3D7DDD90E6B85CA9B51EB75CB5B61FA2E54B4A03BEEE8A37D054111C07781b30BM" TargetMode="External"/><Relationship Id="rId10" Type="http://schemas.openxmlformats.org/officeDocument/2006/relationships/hyperlink" Target="consultantplus://offline/ref=71098A75ED921E3868B3D7DDD90E6B85CA9B51EB75CB5B61FA2E54B4A03BEEE8A37D054111C07781b307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098A75ED921E3868B3D7DDD90E6B85CA9A53EF79C45B61FA2E54B4A03BEEE8A37D054111C07780b306M" TargetMode="External"/><Relationship Id="rId14" Type="http://schemas.openxmlformats.org/officeDocument/2006/relationships/hyperlink" Target="consultantplus://offline/ref=71098A75ED921E3868B3D7DDD90E6B85CA9A52ED7ECE5B61FA2E54B4A03BEEE8A37D054111C07786b30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2457</Words>
  <Characters>14009</Characters>
  <Application>Microsoft Office Word</Application>
  <DocSecurity>0</DocSecurity>
  <Lines>116</Lines>
  <Paragraphs>32</Paragraphs>
  <ScaleCrop>false</ScaleCrop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2015-05-20T12:52:00Z</dcterms:created>
  <dcterms:modified xsi:type="dcterms:W3CDTF">2015-05-20T12:52:00Z</dcterms:modified>
</cp:coreProperties>
</file>